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678" w:rsidRDefault="002A5D31">
      <w:pPr>
        <w:pStyle w:val="Body"/>
        <w:rPr>
          <w:sz w:val="28"/>
          <w:szCs w:val="28"/>
        </w:rPr>
      </w:pPr>
      <w:bookmarkStart w:id="0" w:name="_GoBack"/>
      <w:bookmarkEnd w:id="0"/>
      <w:r>
        <w:rPr>
          <w:sz w:val="28"/>
          <w:szCs w:val="28"/>
        </w:rPr>
        <w:t xml:space="preserve">DOJ Issues Technical Assistance Regarding the ADA and Testing Accommodations </w:t>
      </w:r>
    </w:p>
    <w:p w:rsidR="00351678" w:rsidRDefault="00351678">
      <w:pPr>
        <w:pStyle w:val="Body"/>
        <w:rPr>
          <w:sz w:val="28"/>
          <w:szCs w:val="28"/>
        </w:rPr>
      </w:pPr>
    </w:p>
    <w:p w:rsidR="00351678" w:rsidRDefault="002A5D31">
      <w:pPr>
        <w:pStyle w:val="Body"/>
        <w:rPr>
          <w:sz w:val="28"/>
          <w:szCs w:val="28"/>
        </w:rPr>
      </w:pPr>
      <w:r>
        <w:rPr>
          <w:sz w:val="28"/>
          <w:szCs w:val="28"/>
        </w:rPr>
        <w:t xml:space="preserve">The Civil Rights Section of the Department of Justice has just issued a document providing technical assistance regarding the Americans with Disabilities Act and testing accommodations.    </w:t>
      </w:r>
      <w:hyperlink r:id="rId7" w:history="1">
        <w:r>
          <w:rPr>
            <w:rStyle w:val="Hyperlink0"/>
            <w:sz w:val="28"/>
            <w:szCs w:val="28"/>
          </w:rPr>
          <w:t>http://www.ada.gov/regs2014/testing_accommodations.html</w:t>
        </w:r>
      </w:hyperlink>
    </w:p>
    <w:p w:rsidR="00351678" w:rsidRDefault="00351678">
      <w:pPr>
        <w:pStyle w:val="Body"/>
        <w:rPr>
          <w:sz w:val="28"/>
          <w:szCs w:val="28"/>
        </w:rPr>
      </w:pPr>
    </w:p>
    <w:p w:rsidR="00351678" w:rsidRDefault="002A5D31">
      <w:pPr>
        <w:pStyle w:val="Body"/>
        <w:rPr>
          <w:sz w:val="28"/>
          <w:szCs w:val="28"/>
        </w:rPr>
      </w:pPr>
      <w:r>
        <w:rPr>
          <w:sz w:val="28"/>
          <w:szCs w:val="28"/>
        </w:rPr>
        <w:t>The publication provides technical assistance on testing accommodations for individuals with disabilities who take standardized exams and other high-stakes tests. It addresses:</w:t>
      </w:r>
    </w:p>
    <w:p w:rsidR="00351678" w:rsidRDefault="00351678">
      <w:pPr>
        <w:pStyle w:val="Body"/>
        <w:rPr>
          <w:sz w:val="28"/>
          <w:szCs w:val="28"/>
        </w:rPr>
      </w:pPr>
    </w:p>
    <w:p w:rsidR="00351678" w:rsidRDefault="002A5D31">
      <w:pPr>
        <w:pStyle w:val="Body"/>
        <w:numPr>
          <w:ilvl w:val="0"/>
          <w:numId w:val="2"/>
        </w:numPr>
        <w:rPr>
          <w:sz w:val="28"/>
          <w:szCs w:val="28"/>
        </w:rPr>
      </w:pPr>
      <w:r>
        <w:rPr>
          <w:sz w:val="28"/>
          <w:szCs w:val="28"/>
        </w:rPr>
        <w:t xml:space="preserve">The obligations </w:t>
      </w:r>
      <w:r>
        <w:rPr>
          <w:sz w:val="28"/>
          <w:szCs w:val="28"/>
        </w:rPr>
        <w:t>of testing entities, including private, state, or local government entities that offer exams related to applications, licensing, certification, or credentialing for secondary (high school), postsecondary (college and graduate school), professional (law, me</w:t>
      </w:r>
      <w:r>
        <w:rPr>
          <w:sz w:val="28"/>
          <w:szCs w:val="28"/>
        </w:rPr>
        <w:t>dicine, etc.), or trade (cosmetology, electrician, etc.) purposes;</w:t>
      </w:r>
    </w:p>
    <w:p w:rsidR="00351678" w:rsidRDefault="002A5D31">
      <w:pPr>
        <w:pStyle w:val="Body"/>
        <w:numPr>
          <w:ilvl w:val="0"/>
          <w:numId w:val="2"/>
        </w:numPr>
        <w:rPr>
          <w:sz w:val="28"/>
          <w:szCs w:val="28"/>
        </w:rPr>
      </w:pPr>
      <w:r>
        <w:rPr>
          <w:sz w:val="28"/>
          <w:szCs w:val="28"/>
        </w:rPr>
        <w:t>Who is entitled to testing accommodations;</w:t>
      </w:r>
    </w:p>
    <w:p w:rsidR="00351678" w:rsidRDefault="002A5D31">
      <w:pPr>
        <w:pStyle w:val="Body"/>
        <w:numPr>
          <w:ilvl w:val="0"/>
          <w:numId w:val="2"/>
        </w:numPr>
        <w:rPr>
          <w:sz w:val="28"/>
          <w:szCs w:val="28"/>
        </w:rPr>
      </w:pPr>
      <w:r>
        <w:rPr>
          <w:sz w:val="28"/>
          <w:szCs w:val="28"/>
        </w:rPr>
        <w:t xml:space="preserve">What types of testing accommodations must be provided, and </w:t>
      </w:r>
    </w:p>
    <w:p w:rsidR="00351678" w:rsidRDefault="002A5D31">
      <w:pPr>
        <w:pStyle w:val="Body"/>
        <w:numPr>
          <w:ilvl w:val="0"/>
          <w:numId w:val="2"/>
        </w:numPr>
        <w:rPr>
          <w:sz w:val="28"/>
          <w:szCs w:val="28"/>
        </w:rPr>
      </w:pPr>
      <w:r>
        <w:rPr>
          <w:sz w:val="28"/>
          <w:szCs w:val="28"/>
        </w:rPr>
        <w:t>What documentation may be required of the person requesting testing accommodations are</w:t>
      </w:r>
      <w:r>
        <w:rPr>
          <w:sz w:val="28"/>
          <w:szCs w:val="28"/>
        </w:rPr>
        <w:t xml:space="preserve"> also </w:t>
      </w:r>
      <w:proofErr w:type="gramStart"/>
      <w:r>
        <w:rPr>
          <w:sz w:val="28"/>
          <w:szCs w:val="28"/>
        </w:rPr>
        <w:t>discussed.</w:t>
      </w:r>
      <w:proofErr w:type="gramEnd"/>
    </w:p>
    <w:p w:rsidR="00351678" w:rsidRDefault="00351678">
      <w:pPr>
        <w:pStyle w:val="Body"/>
        <w:rPr>
          <w:sz w:val="28"/>
          <w:szCs w:val="28"/>
        </w:rPr>
      </w:pPr>
    </w:p>
    <w:p w:rsidR="00351678" w:rsidRDefault="002A5D31">
      <w:pPr>
        <w:pStyle w:val="Body"/>
        <w:rPr>
          <w:sz w:val="28"/>
          <w:szCs w:val="28"/>
        </w:rPr>
      </w:pPr>
      <w:r>
        <w:rPr>
          <w:sz w:val="28"/>
          <w:szCs w:val="28"/>
        </w:rPr>
        <w:t>What tests are covered by the ADA?</w:t>
      </w:r>
    </w:p>
    <w:p w:rsidR="00351678" w:rsidRDefault="00351678">
      <w:pPr>
        <w:pStyle w:val="Body"/>
        <w:rPr>
          <w:sz w:val="28"/>
          <w:szCs w:val="28"/>
        </w:rPr>
      </w:pPr>
    </w:p>
    <w:p w:rsidR="00351678" w:rsidRDefault="002A5D31">
      <w:pPr>
        <w:pStyle w:val="Body"/>
        <w:rPr>
          <w:sz w:val="28"/>
          <w:szCs w:val="28"/>
        </w:rPr>
      </w:pPr>
      <w:r>
        <w:rPr>
          <w:sz w:val="28"/>
          <w:szCs w:val="28"/>
        </w:rPr>
        <w:t>Examinations administered by any private, state, or local government entity related to applications, licensing, certification, or credentialing for secondary or postsecondary education, professional, or</w:t>
      </w:r>
      <w:r>
        <w:rPr>
          <w:sz w:val="28"/>
          <w:szCs w:val="28"/>
        </w:rPr>
        <w:t xml:space="preserve"> trade purposes are covered by the ADA.</w:t>
      </w:r>
    </w:p>
    <w:p w:rsidR="00351678" w:rsidRDefault="00351678">
      <w:pPr>
        <w:pStyle w:val="Body"/>
        <w:rPr>
          <w:sz w:val="28"/>
          <w:szCs w:val="28"/>
        </w:rPr>
      </w:pPr>
    </w:p>
    <w:p w:rsidR="00351678" w:rsidRDefault="002A5D31">
      <w:pPr>
        <w:pStyle w:val="Body"/>
        <w:rPr>
          <w:sz w:val="28"/>
          <w:szCs w:val="28"/>
        </w:rPr>
      </w:pPr>
      <w:r>
        <w:rPr>
          <w:sz w:val="28"/>
          <w:szCs w:val="28"/>
        </w:rPr>
        <w:t>"Examples of covered exams include:</w:t>
      </w:r>
    </w:p>
    <w:p w:rsidR="00351678" w:rsidRDefault="00351678">
      <w:pPr>
        <w:pStyle w:val="Body"/>
        <w:rPr>
          <w:sz w:val="28"/>
          <w:szCs w:val="28"/>
        </w:rPr>
      </w:pPr>
    </w:p>
    <w:p w:rsidR="00351678" w:rsidRDefault="002A5D31">
      <w:pPr>
        <w:pStyle w:val="Body"/>
        <w:rPr>
          <w:sz w:val="28"/>
          <w:szCs w:val="28"/>
        </w:rPr>
      </w:pPr>
      <w:r>
        <w:rPr>
          <w:sz w:val="28"/>
          <w:szCs w:val="28"/>
        </w:rPr>
        <w:t>High school equivalency exams (such as the GED);</w:t>
      </w:r>
    </w:p>
    <w:p w:rsidR="00351678" w:rsidRDefault="002A5D31">
      <w:pPr>
        <w:pStyle w:val="Body"/>
        <w:rPr>
          <w:sz w:val="28"/>
          <w:szCs w:val="28"/>
        </w:rPr>
      </w:pPr>
      <w:r>
        <w:rPr>
          <w:sz w:val="28"/>
          <w:szCs w:val="28"/>
        </w:rPr>
        <w:t>High school entrance exams (such as the SSAT or ISEE);</w:t>
      </w:r>
    </w:p>
    <w:p w:rsidR="00351678" w:rsidRDefault="002A5D31">
      <w:pPr>
        <w:pStyle w:val="Body"/>
        <w:rPr>
          <w:sz w:val="28"/>
          <w:szCs w:val="28"/>
        </w:rPr>
      </w:pPr>
      <w:r>
        <w:rPr>
          <w:sz w:val="28"/>
          <w:szCs w:val="28"/>
        </w:rPr>
        <w:t>College entrance exams (such as the SAT or ACT);</w:t>
      </w:r>
    </w:p>
    <w:p w:rsidR="00351678" w:rsidRDefault="002A5D31">
      <w:pPr>
        <w:pStyle w:val="Body"/>
        <w:rPr>
          <w:sz w:val="28"/>
          <w:szCs w:val="28"/>
        </w:rPr>
      </w:pPr>
      <w:r>
        <w:rPr>
          <w:sz w:val="28"/>
          <w:szCs w:val="28"/>
        </w:rPr>
        <w:t>Exams for admission to pr</w:t>
      </w:r>
      <w:r>
        <w:rPr>
          <w:sz w:val="28"/>
          <w:szCs w:val="28"/>
        </w:rPr>
        <w:t xml:space="preserve">ofessional schools (such as the LSAT or MCAT); </w:t>
      </w:r>
    </w:p>
    <w:p w:rsidR="00351678" w:rsidRDefault="002A5D31">
      <w:pPr>
        <w:pStyle w:val="Body"/>
        <w:rPr>
          <w:sz w:val="28"/>
          <w:szCs w:val="28"/>
        </w:rPr>
      </w:pPr>
      <w:r>
        <w:rPr>
          <w:sz w:val="28"/>
          <w:szCs w:val="28"/>
        </w:rPr>
        <w:t>Admissions exams for graduate schools (such as the GRE or GMAT); and</w:t>
      </w:r>
    </w:p>
    <w:p w:rsidR="00351678" w:rsidRDefault="002A5D31">
      <w:pPr>
        <w:pStyle w:val="Body"/>
        <w:rPr>
          <w:sz w:val="28"/>
          <w:szCs w:val="28"/>
        </w:rPr>
      </w:pPr>
      <w:r>
        <w:rPr>
          <w:sz w:val="28"/>
          <w:szCs w:val="28"/>
        </w:rPr>
        <w:t xml:space="preserve">Licensing exams for trade purposes (such as cosmetology) or professional purposes (such as bar exams or medical licensing exams, including </w:t>
      </w:r>
      <w:r>
        <w:rPr>
          <w:sz w:val="28"/>
          <w:szCs w:val="28"/>
        </w:rPr>
        <w:t>clinical assessments)."</w:t>
      </w:r>
    </w:p>
    <w:p w:rsidR="00351678" w:rsidRDefault="00351678">
      <w:pPr>
        <w:pStyle w:val="Body"/>
        <w:rPr>
          <w:sz w:val="28"/>
          <w:szCs w:val="28"/>
        </w:rPr>
      </w:pPr>
    </w:p>
    <w:p w:rsidR="00351678" w:rsidRDefault="002A5D31">
      <w:pPr>
        <w:pStyle w:val="Body"/>
        <w:rPr>
          <w:sz w:val="28"/>
          <w:szCs w:val="28"/>
        </w:rPr>
      </w:pPr>
      <w:r>
        <w:rPr>
          <w:sz w:val="28"/>
          <w:szCs w:val="28"/>
        </w:rPr>
        <w:lastRenderedPageBreak/>
        <w:t>The Department of Justice defines testing accommodations as:</w:t>
      </w:r>
    </w:p>
    <w:p w:rsidR="00351678" w:rsidRDefault="00351678">
      <w:pPr>
        <w:pStyle w:val="Body"/>
        <w:rPr>
          <w:sz w:val="28"/>
          <w:szCs w:val="28"/>
        </w:rPr>
      </w:pPr>
    </w:p>
    <w:p w:rsidR="00351678" w:rsidRDefault="002A5D31">
      <w:pPr>
        <w:pStyle w:val="Body"/>
        <w:rPr>
          <w:sz w:val="28"/>
          <w:szCs w:val="28"/>
        </w:rPr>
      </w:pPr>
      <w:r>
        <w:rPr>
          <w:sz w:val="28"/>
          <w:szCs w:val="28"/>
        </w:rPr>
        <w:t>"</w:t>
      </w:r>
      <w:proofErr w:type="gramStart"/>
      <w:r>
        <w:rPr>
          <w:sz w:val="28"/>
          <w:szCs w:val="28"/>
        </w:rPr>
        <w:t>changes</w:t>
      </w:r>
      <w:proofErr w:type="gramEnd"/>
      <w:r>
        <w:rPr>
          <w:sz w:val="28"/>
          <w:szCs w:val="28"/>
        </w:rPr>
        <w:t xml:space="preserve"> to the regular testing environment and auxiliary aids and services that allow individuals with disabilities to demonstrate their true aptitude or achievement le</w:t>
      </w:r>
      <w:r>
        <w:rPr>
          <w:sz w:val="28"/>
          <w:szCs w:val="28"/>
        </w:rPr>
        <w:t>vel on standardized exams or other high-stakes tests."</w:t>
      </w:r>
    </w:p>
    <w:p w:rsidR="00351678" w:rsidRDefault="00351678">
      <w:pPr>
        <w:pStyle w:val="Body"/>
        <w:rPr>
          <w:sz w:val="28"/>
          <w:szCs w:val="28"/>
        </w:rPr>
      </w:pPr>
    </w:p>
    <w:p w:rsidR="00351678" w:rsidRDefault="002A5D31">
      <w:pPr>
        <w:pStyle w:val="Body"/>
        <w:rPr>
          <w:sz w:val="28"/>
          <w:szCs w:val="28"/>
        </w:rPr>
      </w:pPr>
      <w:r>
        <w:rPr>
          <w:sz w:val="28"/>
          <w:szCs w:val="28"/>
        </w:rPr>
        <w:t>Examples of testing accommodations that may be required include:</w:t>
      </w:r>
    </w:p>
    <w:p w:rsidR="00351678" w:rsidRDefault="00351678">
      <w:pPr>
        <w:pStyle w:val="Body"/>
        <w:rPr>
          <w:sz w:val="28"/>
          <w:szCs w:val="28"/>
        </w:rPr>
      </w:pPr>
    </w:p>
    <w:p w:rsidR="00351678" w:rsidRDefault="002A5D31">
      <w:pPr>
        <w:pStyle w:val="Body"/>
        <w:rPr>
          <w:sz w:val="28"/>
          <w:szCs w:val="28"/>
        </w:rPr>
      </w:pPr>
      <w:r>
        <w:rPr>
          <w:sz w:val="28"/>
          <w:szCs w:val="28"/>
        </w:rPr>
        <w:t>Braille or large-print exam booklets;</w:t>
      </w:r>
    </w:p>
    <w:p w:rsidR="00351678" w:rsidRDefault="002A5D31">
      <w:pPr>
        <w:pStyle w:val="Body"/>
        <w:rPr>
          <w:sz w:val="28"/>
          <w:szCs w:val="28"/>
        </w:rPr>
      </w:pPr>
      <w:r>
        <w:rPr>
          <w:sz w:val="28"/>
          <w:szCs w:val="28"/>
        </w:rPr>
        <w:t>Screen reading technology;</w:t>
      </w:r>
    </w:p>
    <w:p w:rsidR="00351678" w:rsidRDefault="002A5D31">
      <w:pPr>
        <w:pStyle w:val="Body"/>
        <w:rPr>
          <w:sz w:val="28"/>
          <w:szCs w:val="28"/>
        </w:rPr>
      </w:pPr>
      <w:r>
        <w:rPr>
          <w:sz w:val="28"/>
          <w:szCs w:val="28"/>
        </w:rPr>
        <w:t xml:space="preserve">Scribes to transfer answers to </w:t>
      </w:r>
      <w:proofErr w:type="spellStart"/>
      <w:r>
        <w:rPr>
          <w:sz w:val="28"/>
          <w:szCs w:val="28"/>
        </w:rPr>
        <w:t>Scantron</w:t>
      </w:r>
      <w:proofErr w:type="spellEnd"/>
      <w:r>
        <w:rPr>
          <w:sz w:val="28"/>
          <w:szCs w:val="28"/>
        </w:rPr>
        <w:t xml:space="preserve"> bubble sheets or record </w:t>
      </w:r>
      <w:r>
        <w:rPr>
          <w:sz w:val="28"/>
          <w:szCs w:val="28"/>
        </w:rPr>
        <w:t>dictated notes and essays;</w:t>
      </w:r>
    </w:p>
    <w:p w:rsidR="00351678" w:rsidRDefault="002A5D31">
      <w:pPr>
        <w:pStyle w:val="Body"/>
        <w:rPr>
          <w:sz w:val="28"/>
          <w:szCs w:val="28"/>
        </w:rPr>
      </w:pPr>
      <w:r>
        <w:rPr>
          <w:sz w:val="28"/>
          <w:szCs w:val="28"/>
        </w:rPr>
        <w:t>Extended time;</w:t>
      </w:r>
    </w:p>
    <w:p w:rsidR="00351678" w:rsidRDefault="002A5D31">
      <w:pPr>
        <w:pStyle w:val="Body"/>
        <w:rPr>
          <w:sz w:val="28"/>
          <w:szCs w:val="28"/>
        </w:rPr>
      </w:pPr>
      <w:r>
        <w:rPr>
          <w:sz w:val="28"/>
          <w:szCs w:val="28"/>
        </w:rPr>
        <w:t>Wheelchair-accessible testing stations;</w:t>
      </w:r>
    </w:p>
    <w:p w:rsidR="00351678" w:rsidRDefault="002A5D31">
      <w:pPr>
        <w:pStyle w:val="Body"/>
        <w:rPr>
          <w:sz w:val="28"/>
          <w:szCs w:val="28"/>
        </w:rPr>
      </w:pPr>
      <w:r>
        <w:rPr>
          <w:sz w:val="28"/>
          <w:szCs w:val="28"/>
        </w:rPr>
        <w:t>Distraction-free rooms;</w:t>
      </w:r>
    </w:p>
    <w:p w:rsidR="00351678" w:rsidRDefault="002A5D31">
      <w:pPr>
        <w:pStyle w:val="Body"/>
        <w:rPr>
          <w:sz w:val="28"/>
          <w:szCs w:val="28"/>
        </w:rPr>
      </w:pPr>
      <w:r>
        <w:rPr>
          <w:sz w:val="28"/>
          <w:szCs w:val="28"/>
        </w:rPr>
        <w:t>Physical prompts (such as for individuals with hearing impairments); and</w:t>
      </w:r>
    </w:p>
    <w:p w:rsidR="00351678" w:rsidRDefault="002A5D31">
      <w:pPr>
        <w:pStyle w:val="Body"/>
        <w:rPr>
          <w:sz w:val="28"/>
          <w:szCs w:val="28"/>
        </w:rPr>
      </w:pPr>
      <w:r>
        <w:rPr>
          <w:sz w:val="28"/>
          <w:szCs w:val="28"/>
        </w:rPr>
        <w:t>Permission to bring and take medications during the exam (for example, for in</w:t>
      </w:r>
      <w:r>
        <w:rPr>
          <w:sz w:val="28"/>
          <w:szCs w:val="28"/>
        </w:rPr>
        <w:t xml:space="preserve">dividuals with diabetes who must monitor their blood sugar and administer insulin).   </w:t>
      </w:r>
    </w:p>
    <w:p w:rsidR="00351678" w:rsidRDefault="00351678">
      <w:pPr>
        <w:pStyle w:val="Body"/>
        <w:rPr>
          <w:sz w:val="28"/>
          <w:szCs w:val="28"/>
        </w:rPr>
      </w:pPr>
    </w:p>
    <w:p w:rsidR="00351678" w:rsidRDefault="002A5D31">
      <w:pPr>
        <w:pStyle w:val="Body"/>
        <w:rPr>
          <w:sz w:val="28"/>
          <w:szCs w:val="28"/>
        </w:rPr>
      </w:pPr>
      <w:r>
        <w:rPr>
          <w:sz w:val="28"/>
          <w:szCs w:val="28"/>
        </w:rPr>
        <w:t>The publication notes that documentation required of the person with a disability by the testing entity must be reasonable and limited to the need for the testing accom</w:t>
      </w:r>
      <w:r>
        <w:rPr>
          <w:sz w:val="28"/>
          <w:szCs w:val="28"/>
        </w:rPr>
        <w:t>modations. The following are examples of types of documentation:</w:t>
      </w:r>
    </w:p>
    <w:p w:rsidR="00351678" w:rsidRDefault="00351678">
      <w:pPr>
        <w:pStyle w:val="Body"/>
        <w:rPr>
          <w:sz w:val="28"/>
          <w:szCs w:val="28"/>
        </w:rPr>
      </w:pPr>
    </w:p>
    <w:p w:rsidR="00351678" w:rsidRDefault="002A5D31">
      <w:pPr>
        <w:pStyle w:val="Body"/>
        <w:rPr>
          <w:sz w:val="28"/>
          <w:szCs w:val="28"/>
        </w:rPr>
      </w:pPr>
      <w:r>
        <w:rPr>
          <w:sz w:val="28"/>
          <w:szCs w:val="28"/>
        </w:rPr>
        <w:t>"Recommendations of qualified professionals;</w:t>
      </w:r>
    </w:p>
    <w:p w:rsidR="00351678" w:rsidRDefault="002A5D31">
      <w:pPr>
        <w:pStyle w:val="Body"/>
        <w:rPr>
          <w:sz w:val="28"/>
          <w:szCs w:val="28"/>
        </w:rPr>
      </w:pPr>
      <w:r>
        <w:rPr>
          <w:sz w:val="28"/>
          <w:szCs w:val="28"/>
        </w:rPr>
        <w:t>Proof of past testing accommodations;</w:t>
      </w:r>
    </w:p>
    <w:p w:rsidR="00351678" w:rsidRDefault="002A5D31">
      <w:pPr>
        <w:pStyle w:val="Body"/>
        <w:rPr>
          <w:sz w:val="28"/>
          <w:szCs w:val="28"/>
        </w:rPr>
      </w:pPr>
      <w:r>
        <w:rPr>
          <w:sz w:val="28"/>
          <w:szCs w:val="28"/>
        </w:rPr>
        <w:t>Observations by educators;</w:t>
      </w:r>
    </w:p>
    <w:p w:rsidR="00351678" w:rsidRDefault="002A5D31">
      <w:pPr>
        <w:pStyle w:val="Body"/>
        <w:rPr>
          <w:sz w:val="28"/>
          <w:szCs w:val="28"/>
        </w:rPr>
      </w:pPr>
      <w:r>
        <w:rPr>
          <w:sz w:val="28"/>
          <w:szCs w:val="28"/>
        </w:rPr>
        <w:t>Results of psycho-educational or other professional evaluations;</w:t>
      </w:r>
    </w:p>
    <w:p w:rsidR="00351678" w:rsidRDefault="002A5D31">
      <w:pPr>
        <w:pStyle w:val="Body"/>
        <w:rPr>
          <w:sz w:val="28"/>
          <w:szCs w:val="28"/>
        </w:rPr>
      </w:pPr>
      <w:r>
        <w:rPr>
          <w:sz w:val="28"/>
          <w:szCs w:val="28"/>
          <w:lang w:val="fr-FR"/>
        </w:rPr>
        <w:t xml:space="preserve">An </w:t>
      </w:r>
      <w:proofErr w:type="spellStart"/>
      <w:r>
        <w:rPr>
          <w:sz w:val="28"/>
          <w:szCs w:val="28"/>
          <w:lang w:val="fr-FR"/>
        </w:rPr>
        <w:t>applicant</w:t>
      </w:r>
      <w:proofErr w:type="spellEnd"/>
      <w:r>
        <w:rPr>
          <w:sz w:val="28"/>
          <w:szCs w:val="28"/>
          <w:lang w:val="fr-FR"/>
        </w:rPr>
        <w:t>’</w:t>
      </w:r>
      <w:r>
        <w:rPr>
          <w:sz w:val="28"/>
          <w:szCs w:val="28"/>
        </w:rPr>
        <w:t xml:space="preserve">s </w:t>
      </w:r>
      <w:r>
        <w:rPr>
          <w:sz w:val="28"/>
          <w:szCs w:val="28"/>
        </w:rPr>
        <w:t>history of diagnosis; and</w:t>
      </w:r>
    </w:p>
    <w:p w:rsidR="00351678" w:rsidRDefault="002A5D31">
      <w:pPr>
        <w:pStyle w:val="Body"/>
        <w:rPr>
          <w:sz w:val="28"/>
          <w:szCs w:val="28"/>
        </w:rPr>
      </w:pPr>
      <w:r>
        <w:rPr>
          <w:sz w:val="28"/>
          <w:szCs w:val="28"/>
          <w:lang w:val="fr-FR"/>
        </w:rPr>
        <w:t xml:space="preserve">An </w:t>
      </w:r>
      <w:proofErr w:type="spellStart"/>
      <w:r>
        <w:rPr>
          <w:sz w:val="28"/>
          <w:szCs w:val="28"/>
          <w:lang w:val="fr-FR"/>
        </w:rPr>
        <w:t>applicant</w:t>
      </w:r>
      <w:proofErr w:type="spellEnd"/>
      <w:r>
        <w:rPr>
          <w:sz w:val="28"/>
          <w:szCs w:val="28"/>
          <w:lang w:val="fr-FR"/>
        </w:rPr>
        <w:t>’</w:t>
      </w:r>
      <w:r>
        <w:rPr>
          <w:sz w:val="28"/>
          <w:szCs w:val="28"/>
        </w:rPr>
        <w:t>s statement of his or her history regarding testing accommodations."</w:t>
      </w:r>
    </w:p>
    <w:p w:rsidR="00351678" w:rsidRDefault="00351678">
      <w:pPr>
        <w:pStyle w:val="Body"/>
        <w:rPr>
          <w:sz w:val="28"/>
          <w:szCs w:val="28"/>
        </w:rPr>
      </w:pPr>
    </w:p>
    <w:p w:rsidR="00351678" w:rsidRDefault="002A5D31">
      <w:pPr>
        <w:pStyle w:val="Body"/>
        <w:rPr>
          <w:sz w:val="28"/>
          <w:szCs w:val="28"/>
        </w:rPr>
      </w:pPr>
      <w:r>
        <w:rPr>
          <w:sz w:val="28"/>
          <w:szCs w:val="28"/>
        </w:rPr>
        <w:t>The Technical Assistance document concludes by clarifying that a testing entity must respond to requests for testing accommodations in a timely man</w:t>
      </w:r>
      <w:r>
        <w:rPr>
          <w:sz w:val="28"/>
          <w:szCs w:val="28"/>
        </w:rPr>
        <w:t xml:space="preserve">ner to ensure equal opportunity for individuals with disabilities. Additionally, the testing entity must report the test scores of persons receiving accommodations the same as it reports the scores of individuals </w:t>
      </w:r>
      <w:r>
        <w:rPr>
          <w:sz w:val="28"/>
          <w:szCs w:val="28"/>
        </w:rPr>
        <w:lastRenderedPageBreak/>
        <w:t>generally. Finally, testing entities must n</w:t>
      </w:r>
      <w:r>
        <w:rPr>
          <w:sz w:val="28"/>
          <w:szCs w:val="28"/>
        </w:rPr>
        <w:t>ot decline to report the scores for test takers receiving accommodations.</w:t>
      </w:r>
    </w:p>
    <w:p w:rsidR="00351678" w:rsidRDefault="00351678">
      <w:pPr>
        <w:pStyle w:val="Body"/>
        <w:rPr>
          <w:sz w:val="28"/>
          <w:szCs w:val="28"/>
        </w:rPr>
      </w:pPr>
    </w:p>
    <w:p w:rsidR="00351678" w:rsidRDefault="002A5D31">
      <w:pPr>
        <w:pStyle w:val="Body"/>
        <w:rPr>
          <w:sz w:val="28"/>
          <w:szCs w:val="28"/>
        </w:rPr>
      </w:pPr>
      <w:r>
        <w:rPr>
          <w:sz w:val="28"/>
          <w:szCs w:val="28"/>
        </w:rPr>
        <w:t>This Department of Justice has provided very helpful technical assistance to individuals with disabilities who need testing accommodations and those entities that provide the testin</w:t>
      </w:r>
      <w:r>
        <w:rPr>
          <w:sz w:val="28"/>
          <w:szCs w:val="28"/>
        </w:rPr>
        <w:t>g.</w:t>
      </w:r>
    </w:p>
    <w:p w:rsidR="00351678" w:rsidRDefault="00351678">
      <w:pPr>
        <w:pStyle w:val="Body"/>
        <w:rPr>
          <w:sz w:val="28"/>
          <w:szCs w:val="28"/>
        </w:rPr>
      </w:pPr>
    </w:p>
    <w:p w:rsidR="00351678" w:rsidRDefault="00351678">
      <w:pPr>
        <w:pStyle w:val="Body"/>
        <w:rPr>
          <w:sz w:val="28"/>
          <w:szCs w:val="28"/>
        </w:rPr>
      </w:pPr>
    </w:p>
    <w:p w:rsidR="00351678" w:rsidRDefault="00351678">
      <w:pPr>
        <w:pStyle w:val="Body"/>
        <w:rPr>
          <w:sz w:val="28"/>
          <w:szCs w:val="28"/>
        </w:rPr>
      </w:pPr>
    </w:p>
    <w:p w:rsidR="00351678" w:rsidRDefault="00351678">
      <w:pPr>
        <w:pStyle w:val="Body"/>
      </w:pPr>
    </w:p>
    <w:sectPr w:rsidR="00351678">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A5D31">
      <w:r>
        <w:separator/>
      </w:r>
    </w:p>
  </w:endnote>
  <w:endnote w:type="continuationSeparator" w:id="0">
    <w:p w:rsidR="00000000" w:rsidRDefault="002A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678" w:rsidRDefault="003516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A5D31">
      <w:r>
        <w:separator/>
      </w:r>
    </w:p>
  </w:footnote>
  <w:footnote w:type="continuationSeparator" w:id="0">
    <w:p w:rsidR="00000000" w:rsidRDefault="002A5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678" w:rsidRDefault="003516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070A9"/>
    <w:multiLevelType w:val="multilevel"/>
    <w:tmpl w:val="8EACEDF6"/>
    <w:styleLink w:val="Numbered"/>
    <w:lvl w:ilvl="0">
      <w:start w:val="1"/>
      <w:numFmt w:val="decimal"/>
      <w:lvlText w:val="%1."/>
      <w:lvlJc w:val="left"/>
      <w:pPr>
        <w:tabs>
          <w:tab w:val="num" w:pos="458"/>
        </w:tabs>
        <w:ind w:left="458" w:hanging="458"/>
      </w:pPr>
      <w:rPr>
        <w:position w:val="0"/>
        <w:sz w:val="28"/>
        <w:szCs w:val="28"/>
      </w:rPr>
    </w:lvl>
    <w:lvl w:ilvl="1">
      <w:start w:val="1"/>
      <w:numFmt w:val="decimal"/>
      <w:lvlText w:val="%2."/>
      <w:lvlJc w:val="left"/>
      <w:pPr>
        <w:tabs>
          <w:tab w:val="num" w:pos="818"/>
        </w:tabs>
        <w:ind w:left="818" w:hanging="458"/>
      </w:pPr>
      <w:rPr>
        <w:position w:val="0"/>
        <w:sz w:val="28"/>
        <w:szCs w:val="28"/>
      </w:rPr>
    </w:lvl>
    <w:lvl w:ilvl="2">
      <w:start w:val="1"/>
      <w:numFmt w:val="decimal"/>
      <w:lvlText w:val="%3."/>
      <w:lvlJc w:val="left"/>
      <w:pPr>
        <w:tabs>
          <w:tab w:val="num" w:pos="1178"/>
        </w:tabs>
        <w:ind w:left="1178" w:hanging="458"/>
      </w:pPr>
      <w:rPr>
        <w:position w:val="0"/>
        <w:sz w:val="28"/>
        <w:szCs w:val="28"/>
      </w:rPr>
    </w:lvl>
    <w:lvl w:ilvl="3">
      <w:start w:val="1"/>
      <w:numFmt w:val="decimal"/>
      <w:lvlText w:val="%4."/>
      <w:lvlJc w:val="left"/>
      <w:pPr>
        <w:tabs>
          <w:tab w:val="num" w:pos="1538"/>
        </w:tabs>
        <w:ind w:left="1538" w:hanging="458"/>
      </w:pPr>
      <w:rPr>
        <w:position w:val="0"/>
        <w:sz w:val="28"/>
        <w:szCs w:val="28"/>
      </w:rPr>
    </w:lvl>
    <w:lvl w:ilvl="4">
      <w:start w:val="1"/>
      <w:numFmt w:val="decimal"/>
      <w:lvlText w:val="%5."/>
      <w:lvlJc w:val="left"/>
      <w:pPr>
        <w:tabs>
          <w:tab w:val="num" w:pos="1898"/>
        </w:tabs>
        <w:ind w:left="1898" w:hanging="458"/>
      </w:pPr>
      <w:rPr>
        <w:position w:val="0"/>
        <w:sz w:val="28"/>
        <w:szCs w:val="28"/>
      </w:rPr>
    </w:lvl>
    <w:lvl w:ilvl="5">
      <w:start w:val="1"/>
      <w:numFmt w:val="decimal"/>
      <w:lvlText w:val="%6."/>
      <w:lvlJc w:val="left"/>
      <w:pPr>
        <w:tabs>
          <w:tab w:val="num" w:pos="2258"/>
        </w:tabs>
        <w:ind w:left="2258" w:hanging="458"/>
      </w:pPr>
      <w:rPr>
        <w:position w:val="0"/>
        <w:sz w:val="28"/>
        <w:szCs w:val="28"/>
      </w:rPr>
    </w:lvl>
    <w:lvl w:ilvl="6">
      <w:start w:val="1"/>
      <w:numFmt w:val="decimal"/>
      <w:lvlText w:val="%7."/>
      <w:lvlJc w:val="left"/>
      <w:pPr>
        <w:tabs>
          <w:tab w:val="num" w:pos="2618"/>
        </w:tabs>
        <w:ind w:left="2618" w:hanging="458"/>
      </w:pPr>
      <w:rPr>
        <w:position w:val="0"/>
        <w:sz w:val="28"/>
        <w:szCs w:val="28"/>
      </w:rPr>
    </w:lvl>
    <w:lvl w:ilvl="7">
      <w:start w:val="1"/>
      <w:numFmt w:val="decimal"/>
      <w:lvlText w:val="%8."/>
      <w:lvlJc w:val="left"/>
      <w:pPr>
        <w:tabs>
          <w:tab w:val="num" w:pos="2978"/>
        </w:tabs>
        <w:ind w:left="2978" w:hanging="458"/>
      </w:pPr>
      <w:rPr>
        <w:position w:val="0"/>
        <w:sz w:val="28"/>
        <w:szCs w:val="28"/>
      </w:rPr>
    </w:lvl>
    <w:lvl w:ilvl="8">
      <w:start w:val="1"/>
      <w:numFmt w:val="decimal"/>
      <w:lvlText w:val="%9."/>
      <w:lvlJc w:val="left"/>
      <w:pPr>
        <w:tabs>
          <w:tab w:val="num" w:pos="3338"/>
        </w:tabs>
        <w:ind w:left="3338" w:hanging="458"/>
      </w:pPr>
      <w:rPr>
        <w:position w:val="0"/>
        <w:sz w:val="28"/>
        <w:szCs w:val="28"/>
      </w:rPr>
    </w:lvl>
  </w:abstractNum>
  <w:abstractNum w:abstractNumId="1" w15:restartNumberingAfterBreak="0">
    <w:nsid w:val="7326486D"/>
    <w:multiLevelType w:val="multilevel"/>
    <w:tmpl w:val="99560106"/>
    <w:lvl w:ilvl="0">
      <w:start w:val="1"/>
      <w:numFmt w:val="decimal"/>
      <w:lvlText w:val="%1."/>
      <w:lvlJc w:val="left"/>
      <w:pPr>
        <w:tabs>
          <w:tab w:val="num" w:pos="458"/>
        </w:tabs>
        <w:ind w:left="458" w:hanging="458"/>
      </w:pPr>
      <w:rPr>
        <w:position w:val="0"/>
        <w:sz w:val="28"/>
        <w:szCs w:val="28"/>
      </w:rPr>
    </w:lvl>
    <w:lvl w:ilvl="1">
      <w:start w:val="1"/>
      <w:numFmt w:val="decimal"/>
      <w:lvlText w:val="%2."/>
      <w:lvlJc w:val="left"/>
      <w:pPr>
        <w:tabs>
          <w:tab w:val="num" w:pos="818"/>
        </w:tabs>
        <w:ind w:left="818" w:hanging="458"/>
      </w:pPr>
      <w:rPr>
        <w:position w:val="0"/>
        <w:sz w:val="28"/>
        <w:szCs w:val="28"/>
      </w:rPr>
    </w:lvl>
    <w:lvl w:ilvl="2">
      <w:start w:val="1"/>
      <w:numFmt w:val="decimal"/>
      <w:lvlText w:val="%3."/>
      <w:lvlJc w:val="left"/>
      <w:pPr>
        <w:tabs>
          <w:tab w:val="num" w:pos="1178"/>
        </w:tabs>
        <w:ind w:left="1178" w:hanging="458"/>
      </w:pPr>
      <w:rPr>
        <w:position w:val="0"/>
        <w:sz w:val="28"/>
        <w:szCs w:val="28"/>
      </w:rPr>
    </w:lvl>
    <w:lvl w:ilvl="3">
      <w:start w:val="1"/>
      <w:numFmt w:val="decimal"/>
      <w:lvlText w:val="%4."/>
      <w:lvlJc w:val="left"/>
      <w:pPr>
        <w:tabs>
          <w:tab w:val="num" w:pos="1538"/>
        </w:tabs>
        <w:ind w:left="1538" w:hanging="458"/>
      </w:pPr>
      <w:rPr>
        <w:position w:val="0"/>
        <w:sz w:val="28"/>
        <w:szCs w:val="28"/>
      </w:rPr>
    </w:lvl>
    <w:lvl w:ilvl="4">
      <w:start w:val="1"/>
      <w:numFmt w:val="decimal"/>
      <w:lvlText w:val="%5."/>
      <w:lvlJc w:val="left"/>
      <w:pPr>
        <w:tabs>
          <w:tab w:val="num" w:pos="1898"/>
        </w:tabs>
        <w:ind w:left="1898" w:hanging="458"/>
      </w:pPr>
      <w:rPr>
        <w:position w:val="0"/>
        <w:sz w:val="28"/>
        <w:szCs w:val="28"/>
      </w:rPr>
    </w:lvl>
    <w:lvl w:ilvl="5">
      <w:start w:val="1"/>
      <w:numFmt w:val="decimal"/>
      <w:lvlText w:val="%6."/>
      <w:lvlJc w:val="left"/>
      <w:pPr>
        <w:tabs>
          <w:tab w:val="num" w:pos="2258"/>
        </w:tabs>
        <w:ind w:left="2258" w:hanging="458"/>
      </w:pPr>
      <w:rPr>
        <w:position w:val="0"/>
        <w:sz w:val="28"/>
        <w:szCs w:val="28"/>
      </w:rPr>
    </w:lvl>
    <w:lvl w:ilvl="6">
      <w:start w:val="1"/>
      <w:numFmt w:val="decimal"/>
      <w:lvlText w:val="%7."/>
      <w:lvlJc w:val="left"/>
      <w:pPr>
        <w:tabs>
          <w:tab w:val="num" w:pos="2618"/>
        </w:tabs>
        <w:ind w:left="2618" w:hanging="458"/>
      </w:pPr>
      <w:rPr>
        <w:position w:val="0"/>
        <w:sz w:val="28"/>
        <w:szCs w:val="28"/>
      </w:rPr>
    </w:lvl>
    <w:lvl w:ilvl="7">
      <w:start w:val="1"/>
      <w:numFmt w:val="decimal"/>
      <w:lvlText w:val="%8."/>
      <w:lvlJc w:val="left"/>
      <w:pPr>
        <w:tabs>
          <w:tab w:val="num" w:pos="2978"/>
        </w:tabs>
        <w:ind w:left="2978" w:hanging="458"/>
      </w:pPr>
      <w:rPr>
        <w:position w:val="0"/>
        <w:sz w:val="28"/>
        <w:szCs w:val="28"/>
      </w:rPr>
    </w:lvl>
    <w:lvl w:ilvl="8">
      <w:start w:val="1"/>
      <w:numFmt w:val="decimal"/>
      <w:lvlText w:val="%9."/>
      <w:lvlJc w:val="left"/>
      <w:pPr>
        <w:tabs>
          <w:tab w:val="num" w:pos="3338"/>
        </w:tabs>
        <w:ind w:left="3338" w:hanging="458"/>
      </w:pPr>
      <w:rPr>
        <w:position w:val="0"/>
        <w:sz w:val="28"/>
        <w:szCs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78"/>
    <w:rsid w:val="002A5D31"/>
    <w:rsid w:val="0035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08AF5-9134-48E2-871A-B478E570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character" w:customStyle="1" w:styleId="Hyperlink0">
    <w:name w:val="Hyperlink.0"/>
    <w:basedOn w:val="Hyperlink"/>
    <w:rPr>
      <w:u w:val="single"/>
    </w:rPr>
  </w:style>
  <w:style w:type="numbering" w:customStyle="1" w:styleId="Numbered">
    <w:name w:val="Numbere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a.gov/regs2014/testing_accommodatio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3336</Characters>
  <Application>Microsoft Office Word</Application>
  <DocSecurity>4</DocSecurity>
  <Lines>27</Lines>
  <Paragraphs>7</Paragraphs>
  <ScaleCrop>false</ScaleCrop>
  <Company/>
  <LinksUpToDate>false</LinksUpToDate>
  <CharactersWithSpaces>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Busby</dc:creator>
  <cp:lastModifiedBy>Julie Busby</cp:lastModifiedBy>
  <cp:revision>2</cp:revision>
  <dcterms:created xsi:type="dcterms:W3CDTF">2015-09-09T21:31:00Z</dcterms:created>
  <dcterms:modified xsi:type="dcterms:W3CDTF">2015-09-09T21:31:00Z</dcterms:modified>
</cp:coreProperties>
</file>